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80" w:rsidRPr="00081A80" w:rsidRDefault="00081A80" w:rsidP="00081A80">
      <w:pPr>
        <w:pStyle w:val="NormalWeb"/>
        <w:rPr>
          <w:rFonts w:ascii="Verdana" w:hAnsi="Verdana"/>
        </w:rPr>
      </w:pPr>
      <w:r w:rsidRPr="00081A80">
        <w:rPr>
          <w:rStyle w:val="Forte"/>
          <w:rFonts w:ascii="Verdana" w:hAnsi="Verdana"/>
        </w:rPr>
        <w:t>PER Habitação Social</w:t>
      </w:r>
      <w:r w:rsidRPr="00081A80">
        <w:rPr>
          <w:rFonts w:ascii="Verdana" w:hAnsi="Verdana"/>
          <w:b/>
          <w:bCs/>
        </w:rPr>
        <w:br/>
      </w:r>
      <w:r w:rsidRPr="00081A80">
        <w:rPr>
          <w:rStyle w:val="Forte"/>
          <w:rFonts w:ascii="Verdana" w:hAnsi="Verdana"/>
        </w:rPr>
        <w:t>Lugar do Outeiro</w:t>
      </w:r>
      <w:r w:rsidRPr="00081A80">
        <w:rPr>
          <w:rFonts w:ascii="Verdana" w:hAnsi="Verdana"/>
        </w:rPr>
        <w:br/>
        <w:t>Maia</w:t>
      </w:r>
      <w:r w:rsidRPr="00081A80">
        <w:rPr>
          <w:rFonts w:ascii="Verdana" w:hAnsi="Verdana"/>
        </w:rPr>
        <w:br/>
        <w:t>1996-1999</w:t>
      </w:r>
    </w:p>
    <w:p w:rsidR="00081A80" w:rsidRPr="00081A80" w:rsidRDefault="00081A80" w:rsidP="00081A80">
      <w:pPr>
        <w:pStyle w:val="NormalWeb"/>
        <w:rPr>
          <w:rFonts w:ascii="Verdana" w:hAnsi="Verdana"/>
        </w:rPr>
      </w:pPr>
      <w:bookmarkStart w:id="0" w:name="_GoBack"/>
      <w:bookmarkEnd w:id="0"/>
    </w:p>
    <w:p w:rsidR="00081A80" w:rsidRPr="00081A80" w:rsidRDefault="00081A80" w:rsidP="00081A80">
      <w:pPr>
        <w:pStyle w:val="NormalWeb"/>
        <w:rPr>
          <w:rFonts w:ascii="Verdana" w:hAnsi="Verdana"/>
        </w:rPr>
      </w:pPr>
    </w:p>
    <w:p w:rsidR="00081A80" w:rsidRPr="00081A80" w:rsidRDefault="00081A80" w:rsidP="00081A80">
      <w:pPr>
        <w:pStyle w:val="NormalWeb"/>
        <w:rPr>
          <w:rFonts w:ascii="Verdana" w:hAnsi="Verdana"/>
        </w:rPr>
      </w:pPr>
    </w:p>
    <w:p w:rsidR="00081A80" w:rsidRPr="00081A80" w:rsidRDefault="00081A80" w:rsidP="00081A80">
      <w:pPr>
        <w:pStyle w:val="NormalWeb"/>
        <w:rPr>
          <w:rFonts w:ascii="Verdana" w:hAnsi="Verdana"/>
        </w:rPr>
      </w:pPr>
      <w:proofErr w:type="gramStart"/>
      <w:r w:rsidRPr="00081A80">
        <w:rPr>
          <w:rFonts w:ascii="Verdana" w:hAnsi="Verdana"/>
        </w:rPr>
        <w:t>“(...</w:t>
      </w:r>
      <w:proofErr w:type="gramEnd"/>
      <w:r w:rsidRPr="00081A80">
        <w:rPr>
          <w:rFonts w:ascii="Verdana" w:hAnsi="Verdana"/>
        </w:rPr>
        <w:t>) A Arquitectura é a vontade de uma época concebida em termos espaciais.</w:t>
      </w:r>
      <w:r w:rsidRPr="00081A80">
        <w:rPr>
          <w:rFonts w:ascii="Verdana" w:hAnsi="Verdana"/>
        </w:rPr>
        <w:br/>
        <w:t>Nem o passado, nem o futuro, só o dia de hoje se pode fixar.</w:t>
      </w:r>
      <w:r w:rsidRPr="00081A80">
        <w:rPr>
          <w:rFonts w:ascii="Verdana" w:hAnsi="Verdana"/>
        </w:rPr>
        <w:br/>
        <w:t>Só assim a arquitectura se pode realizar.</w:t>
      </w:r>
      <w:r w:rsidRPr="00081A80">
        <w:rPr>
          <w:rFonts w:ascii="Verdana" w:hAnsi="Verdana"/>
        </w:rPr>
        <w:br/>
        <w:t xml:space="preserve">Criar a forma com a essência do problema e os meios de nossa época, essa é a nossa tarefa”. </w:t>
      </w:r>
    </w:p>
    <w:p w:rsidR="00081A80" w:rsidRPr="00081A80" w:rsidRDefault="00081A80" w:rsidP="00081A80">
      <w:pPr>
        <w:pStyle w:val="NormalWeb"/>
        <w:rPr>
          <w:rFonts w:ascii="Verdana" w:hAnsi="Verdana"/>
        </w:rPr>
      </w:pPr>
      <w:r w:rsidRPr="00081A80">
        <w:rPr>
          <w:rFonts w:ascii="Verdana" w:hAnsi="Verdana"/>
        </w:rPr>
        <w:t>O terreno onde se implanta este conjunto habitacional situa-se no interior de um loteamento de baixa densidade localizado numa área próxima do centro da cidade.</w:t>
      </w:r>
      <w:r w:rsidRPr="00081A80">
        <w:rPr>
          <w:rFonts w:ascii="Verdana" w:hAnsi="Verdana"/>
        </w:rPr>
        <w:br/>
        <w:t>Esta condição de interioridade confirma a insipiência de uma malha urbana que manifesta evidentes dificuldades de articulação, onde é inequívoca a ausência de qualquer estratégia de desenho urbano.</w:t>
      </w:r>
      <w:r w:rsidRPr="00081A80">
        <w:rPr>
          <w:rFonts w:ascii="Verdana" w:hAnsi="Verdana"/>
        </w:rPr>
        <w:br/>
        <w:t>Tal situação define bem a complexidade que o projecto tem que enfrentar e tentar resolver já que a “localização” e a imagem do edifício só podem, neste caso, resultar do compromisso que é necessário estabelecer entre a escala que se propõe e a escala que caracteriza a envolvente próxima, sem prejuízo dos espaços de uso colectivo que necessariamente deverá ter a capacidade de gerar.</w:t>
      </w:r>
      <w:r w:rsidRPr="00081A80">
        <w:rPr>
          <w:rFonts w:ascii="Verdana" w:hAnsi="Verdana"/>
        </w:rPr>
        <w:br/>
        <w:t>O edifício implanta-se no lado oposto à entrada no interior do loteamento de modo a directamente se relacionar com o edifício da Central Telefónica aí existente, contribuindo assim para a “regularização” dos limites interiores do terreno.</w:t>
      </w:r>
      <w:r w:rsidRPr="00081A80">
        <w:rPr>
          <w:rFonts w:ascii="Verdana" w:hAnsi="Verdana"/>
        </w:rPr>
        <w:br/>
        <w:t>A adopção do mesmo material (tijolo face à vista) utilizado nesse edifício não representa mais do que um esforço de aproximação, enquanto expressão dessa vontade de “regularização” e também como forma de com ele estabelecer uma identidade.</w:t>
      </w:r>
      <w:r w:rsidRPr="00081A80">
        <w:rPr>
          <w:rFonts w:ascii="Verdana" w:hAnsi="Verdana"/>
        </w:rPr>
        <w:br/>
        <w:t>A austeridade, a economia de meios e o rigor que caracterizam o desenho do conjunto concretiza-se numa imagem unitária e coesa enquanto reforço dessa mesma identidade.</w:t>
      </w:r>
    </w:p>
    <w:p w:rsidR="003E50A0" w:rsidRPr="00081A80" w:rsidRDefault="003E50A0">
      <w:pPr>
        <w:rPr>
          <w:sz w:val="24"/>
          <w:szCs w:val="24"/>
        </w:rPr>
      </w:pPr>
    </w:p>
    <w:sectPr w:rsidR="003E50A0" w:rsidRPr="00081A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7D"/>
    <w:rsid w:val="00081A80"/>
    <w:rsid w:val="003E50A0"/>
    <w:rsid w:val="006E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081A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081A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Azevedo</dc:creator>
  <cp:keywords/>
  <dc:description/>
  <cp:lastModifiedBy>João Azevedo</cp:lastModifiedBy>
  <cp:revision>2</cp:revision>
  <dcterms:created xsi:type="dcterms:W3CDTF">2011-02-11T11:37:00Z</dcterms:created>
  <dcterms:modified xsi:type="dcterms:W3CDTF">2011-02-11T11:39:00Z</dcterms:modified>
</cp:coreProperties>
</file>